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val="0"/>
        <w:spacing w:before="0" w:after="156" w:afterLines="50" w:line="240" w:lineRule="auto"/>
        <w:textAlignment w:val="auto"/>
        <w:rPr>
          <w:rFonts w:hAnsi="Times New Roman" w:cs="Times New Roman"/>
          <w:snapToGrid w:val="0"/>
          <w:kern w:val="2"/>
          <w:sz w:val="36"/>
          <w:szCs w:val="36"/>
        </w:rPr>
      </w:pPr>
      <w:bookmarkStart w:id="0" w:name="_GoBack"/>
      <w:r>
        <w:rPr>
          <w:rFonts w:hint="eastAsia" w:ascii="黑体" w:hAnsi="黑体" w:eastAsia="黑体" w:cs="黑体"/>
          <w:b/>
          <w:bCs/>
          <w:snapToGrid w:val="0"/>
          <w:kern w:val="2"/>
          <w:sz w:val="36"/>
          <w:szCs w:val="36"/>
        </w:rPr>
        <w:t>经济与金融</w:t>
      </w:r>
      <w:r>
        <w:rPr>
          <w:rFonts w:hint="eastAsia" w:ascii="黑体" w:hAnsi="黑体" w:eastAsia="黑体" w:cs="黑体"/>
          <w:b/>
          <w:bCs/>
          <w:snapToGrid w:val="0"/>
          <w:kern w:val="2"/>
          <w:sz w:val="36"/>
          <w:szCs w:val="36"/>
          <w:lang w:eastAsia="zh-CN"/>
        </w:rPr>
        <w:t>专业</w:t>
      </w:r>
      <w:bookmarkEnd w:id="0"/>
      <w:r>
        <w:rPr>
          <w:rFonts w:hint="eastAsia" w:ascii="黑体" w:hAnsi="黑体" w:eastAsia="黑体" w:cs="黑体"/>
          <w:b/>
          <w:bCs/>
          <w:snapToGrid w:val="0"/>
          <w:kern w:val="2"/>
          <w:sz w:val="36"/>
          <w:szCs w:val="36"/>
        </w:rPr>
        <w:t>自查报告</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黑体" w:hAnsi="黑体" w:eastAsia="黑体" w:cs="黑体"/>
          <w:bCs/>
          <w:snapToGrid w:val="0"/>
          <w:kern w:val="2"/>
          <w:sz w:val="30"/>
          <w:szCs w:val="30"/>
        </w:rPr>
      </w:pPr>
      <w:r>
        <w:rPr>
          <w:rFonts w:hint="eastAsia" w:ascii="黑体" w:hAnsi="黑体" w:eastAsia="黑体" w:cs="黑体"/>
          <w:bCs/>
          <w:snapToGrid w:val="0"/>
          <w:kern w:val="2"/>
          <w:sz w:val="30"/>
          <w:szCs w:val="30"/>
        </w:rPr>
        <w:t>一、专业建设基本情况</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安文理学院经济与金融本科专业2016年获得国家教育部批准开设并招生。截至2019年12月，经济与金融专业在校全日制本科生共有317人，其中2106级43人，2017级103人，2018级82人，2019级89人，年报到率达到100%。四年来，本专业认真展开和推进“经济与金融”本科教学，在专业建设、师资队伍、教学条件、科学研究、人才培养等方面取得了长足发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heme="minorEastAsia" w:hAnsiTheme="minorEastAsia" w:eastAsiaTheme="minorEastAsia" w:cstheme="minorEastAsia"/>
          <w:b/>
          <w:snapToGrid w:val="0"/>
          <w:sz w:val="24"/>
          <w:szCs w:val="24"/>
        </w:rPr>
      </w:pPr>
      <w:r>
        <w:rPr>
          <w:rFonts w:hint="eastAsia" w:asciiTheme="minorEastAsia" w:hAnsiTheme="minorEastAsia" w:eastAsiaTheme="minorEastAsia" w:cstheme="minorEastAsia"/>
          <w:sz w:val="24"/>
          <w:szCs w:val="24"/>
        </w:rPr>
        <w:t>按照《陕西普通高等学校新设本科专业建设标准》，对照评审指标体系，经济与金融专业经过认真检查和客观自评，认为本专业建设目标明确，办学特色鲜明；专业定位与专业建设规划适应经济社会发展需要，符合学校定位；师资团队优良，教学队伍中教授、副教授职称人数符合要求；人才培养方案科学可行，教学效果较好；实验课程、实习课程开设齐全，实践教学条件能够满足专业教学需要；科教研工作显著，成果突出；各项教学、考核、管理制度健全，教学过程执行有力，教学资料完备，教学资源建设符合培养目标要求。按照《申请新增列为学士学位授予权专业初审工作评审指标体系》的规定，我们经过认真、客观地自评，得分92分，自评等级为A。</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Cs/>
          <w:snapToGrid w:val="0"/>
          <w:kern w:val="2"/>
          <w:sz w:val="30"/>
          <w:szCs w:val="30"/>
        </w:rPr>
      </w:pPr>
      <w:r>
        <w:rPr>
          <w:rFonts w:hint="eastAsia" w:ascii="黑体" w:hAnsi="黑体" w:eastAsia="黑体" w:cs="黑体"/>
          <w:bCs/>
          <w:snapToGrid w:val="0"/>
          <w:kern w:val="2"/>
          <w:sz w:val="30"/>
          <w:szCs w:val="30"/>
        </w:rPr>
        <w:t>二、专业定位与培养方案</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 xml:space="preserve">本专业以教育部《国家中长期教育改革和发展规划纲要（2010-2020年）》《人才规划纲要》和 </w:t>
      </w:r>
      <w:r>
        <w:rPr>
          <w:rFonts w:hint="eastAsia" w:asciiTheme="minorEastAsia" w:hAnsiTheme="minorEastAsia" w:eastAsiaTheme="minorEastAsia" w:cstheme="minorEastAsia"/>
          <w:sz w:val="24"/>
          <w:szCs w:val="24"/>
        </w:rPr>
        <w:t>陕西省《实施意见，》</w:t>
      </w:r>
      <w:r>
        <w:rPr>
          <w:rFonts w:hint="eastAsia" w:asciiTheme="minorEastAsia" w:hAnsiTheme="minorEastAsia" w:eastAsiaTheme="minorEastAsia" w:cstheme="minorEastAsia"/>
          <w:sz w:val="24"/>
          <w:szCs w:val="24"/>
          <w:shd w:val="clear" w:color="auto" w:fill="FFFFFF"/>
        </w:rPr>
        <w:t>以及我校关于制定人才培养方案的相关资料等文件精神为指导，</w:t>
      </w:r>
      <w:r>
        <w:rPr>
          <w:rFonts w:hint="eastAsia" w:asciiTheme="minorEastAsia" w:hAnsiTheme="minorEastAsia" w:eastAsiaTheme="minorEastAsia" w:cstheme="minorEastAsia"/>
          <w:sz w:val="24"/>
          <w:szCs w:val="24"/>
        </w:rPr>
        <w:t>以适应国家、区域经济和社会发展的需要为宗旨，</w:t>
      </w:r>
      <w:r>
        <w:rPr>
          <w:rFonts w:hint="eastAsia" w:asciiTheme="minorEastAsia" w:hAnsiTheme="minorEastAsia" w:eastAsiaTheme="minorEastAsia" w:cstheme="minorEastAsia"/>
          <w:b/>
          <w:bCs/>
          <w:sz w:val="24"/>
          <w:szCs w:val="24"/>
        </w:rPr>
        <w:t>经济与金融专业定位于稳定发展普通本科层次的办学规模，服务西安、立足陕西、面向全国，</w:t>
      </w:r>
      <w:r>
        <w:rPr>
          <w:rFonts w:hint="eastAsia" w:asciiTheme="minorEastAsia" w:hAnsiTheme="minorEastAsia" w:eastAsiaTheme="minorEastAsia" w:cstheme="minorEastAsia"/>
          <w:sz w:val="24"/>
          <w:szCs w:val="24"/>
        </w:rPr>
        <w:t>培养系统掌握经济学与金融学基本理论和分析方法，熟悉国内外经济与金融发展动态，具备健全人格、良好心理素质与合作精神，具备创新精神、创业意识和创新创业能力，能够胜任各类金融企业、政府及其他综合经济管理部门、科研院所等一线工作需要的高素质应用型经济与金融人才。</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本专业以专业发展定位为核心，对经济与金融专业建设做了中长期发展规划和布局</w:t>
      </w:r>
      <w:r>
        <w:rPr>
          <w:rFonts w:hint="eastAsia" w:asciiTheme="minorEastAsia" w:hAnsiTheme="minorEastAsia" w:eastAsiaTheme="minorEastAsia" w:cstheme="minorEastAsia"/>
          <w:sz w:val="24"/>
          <w:szCs w:val="24"/>
        </w:rPr>
        <w:t>：通过扎实努力，不断探索，从课程建设和教学改革入手，积极稳妥推进培养模式和课程体系改革；服务西安、立足陕西、面向全国，以就业为导向，以能力为本位，以质量求生存，强化实践教学，以产学研为途径提升教学效果和人才培养质量；通过3-5年的努力，使本专业在校学生达到200-300人，专业教师达到15人以上，校内实训设施总值达200万元，校外实训基地达到4个以上，力争在“十三五”末期将本专业建设成为院级特色专业。</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为了适应专业发展定位，本专业的人才培养目标在于</w:t>
      </w:r>
      <w:r>
        <w:rPr>
          <w:rFonts w:hint="eastAsia" w:asciiTheme="minorEastAsia" w:hAnsiTheme="minorEastAsia" w:eastAsiaTheme="minorEastAsia" w:cstheme="minorEastAsia"/>
          <w:sz w:val="24"/>
          <w:szCs w:val="24"/>
        </w:rPr>
        <w:t>：培养学生热爱经济与金融本职工作，充分理解各项经济与金融法规，形成认真、踏实、勤奋的工作作风，具有较强的创新意识；掌握扎实的投融资专业技能，拥有解决经济与金融领域主要业务问题的能力；能成为所在业务部门的骨干力量，积极参与各项专业技能比赛，部分毕业生成长为管理者或在重要比赛中获奖；具有一定的科研能力，部分毕业生能在专业期刊上发表专业论文；拥有较强的继续学习能力和国际视野，持续关注相关领域的最新动态和趋势，重视交流，部分毕业生取得更高级专业证书或攻读更高层次学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围绕人才培养目标，在专业培养方案上，</w:t>
      </w:r>
      <w:r>
        <w:rPr>
          <w:rFonts w:hint="eastAsia" w:asciiTheme="minorEastAsia" w:hAnsiTheme="minorEastAsia" w:eastAsiaTheme="minorEastAsia" w:cstheme="minorEastAsia"/>
          <w:sz w:val="24"/>
          <w:szCs w:val="24"/>
        </w:rPr>
        <w:t>注重以学生为中心，以实操能力培养为主线的</w:t>
      </w:r>
      <w:r>
        <w:rPr>
          <w:rFonts w:hint="eastAsia" w:asciiTheme="minorEastAsia" w:hAnsiTheme="minorEastAsia" w:eastAsiaTheme="minorEastAsia" w:cstheme="minorEastAsia"/>
          <w:b/>
          <w:bCs/>
          <w:sz w:val="24"/>
          <w:szCs w:val="24"/>
        </w:rPr>
        <w:t>人才培养方案的制定与优化</w:t>
      </w:r>
      <w:r>
        <w:rPr>
          <w:rFonts w:hint="eastAsia" w:asciiTheme="minorEastAsia" w:hAnsiTheme="minorEastAsia" w:eastAsiaTheme="minorEastAsia" w:cstheme="minorEastAsia"/>
          <w:sz w:val="24"/>
          <w:szCs w:val="24"/>
        </w:rPr>
        <w:t>：</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专业建设模式上，认真完成人才培养计划中的理论和实践环节，采用“平台+模块”的课程体系，注重创新型、应用型人才的培养。“平台”体现了人才培养的基本规格和全面发展的共性要求，即人才培养的“宽口径、厚基础”；“模块”则为人才培养方案的灵活调整提供可能性，解决人才培养中的“通”“专”结合问题。</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教学模式上，加强主干课程建设，注重各门课程之间的相互联系，形成良好的课程群；构建课堂教学、实践教学和社会实习相结合的教学环境，运用“理论教学—案例教学—模拟教学—实习教学”的教学模式，采用学生主动参与、小组协作、实习与课堂教学并重的教学方式；定期组织新生入学教育活动，通过系领导和教师的专业介绍、聘请校外导师介绍本专业的发展前景和最新趋势等多种方式，提高学生学习专业知识的兴趣和积极性；积极组织、鼓励学生参加校级、省级、国家级专业竞赛和各种创新创业实践以及相关资格证书的考取。构建了与人才培养目标相适应的岗、课、证三位一体的工学结合人才培养模式，并在实践过程中再不断进行创新完善。</w:t>
      </w:r>
    </w:p>
    <w:p>
      <w:pPr>
        <w:spacing w:line="400" w:lineRule="exact"/>
        <w:ind w:firstLine="480" w:firstLineChars="200"/>
        <w:rPr>
          <w:rFonts w:asciiTheme="minorEastAsia" w:hAnsiTheme="minorEastAsia" w:eastAsiaTheme="minorEastAsia" w:cstheme="minorEastAsia"/>
          <w:kern w:val="2"/>
          <w:sz w:val="24"/>
          <w:szCs w:val="24"/>
        </w:rPr>
      </w:pPr>
      <w:r>
        <w:rPr>
          <w:rFonts w:hint="eastAsia" w:asciiTheme="minorEastAsia" w:hAnsiTheme="minorEastAsia" w:eastAsiaTheme="minorEastAsia" w:cstheme="minorEastAsia"/>
          <w:sz w:val="24"/>
          <w:szCs w:val="24"/>
        </w:rPr>
        <w:t>通过校企合作，建设“双师”素质、“双师”结构的专业教学团队，构建基于商业银行等金融机构工作过程的课程体系，改革课程内容，完善实践教学条件，提高教学质量，培养满足商业银行等金融行业需求的、具备较强职业能力的高素质技能型人才，力争做到三个“零距离”（专业开设与社会经济发展需求“零距离”，课程设置与岗位群需求“零距离”，毕业生素质与岗位要求“零距离”）。</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Cs/>
          <w:snapToGrid w:val="0"/>
          <w:kern w:val="2"/>
          <w:sz w:val="30"/>
          <w:szCs w:val="30"/>
        </w:rPr>
      </w:pPr>
      <w:r>
        <w:rPr>
          <w:rFonts w:hint="eastAsia" w:ascii="黑体" w:hAnsi="黑体" w:eastAsia="黑体" w:cs="黑体"/>
          <w:bCs/>
          <w:snapToGrid w:val="0"/>
          <w:kern w:val="2"/>
          <w:sz w:val="30"/>
          <w:szCs w:val="30"/>
        </w:rPr>
        <w:t>三、专业师资队伍</w:t>
      </w:r>
    </w:p>
    <w:p>
      <w:pPr>
        <w:spacing w:line="400" w:lineRule="exact"/>
        <w:ind w:firstLine="480" w:firstLineChars="200"/>
        <w:rPr>
          <w:rFonts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本专业拥有一支职称和学历结构合理、学缘和专业结构良好、综合素质较强、教学科研水平较高的师资队伍，能够承担经济学专业的主要课程。现有专任教师15人，其中三级教授2人，教授6人，副教授5人，副高以上教师占教师总数的73.3％。博士研究生10人，硕士研究生6人，具有博士、硕士学位的教师比例达到了100%。实践环节教师队伍配备整齐，双师型教师3人，有3人课承担实验教学。本专业在师资选拔上严把教师入口，保证师资质量，多数教师毕业于中国人民大学、西安交通大学、西北工业大学、西北农林科技大学、陕西师范大学等“985”“211”院校。本专业通过定期开展教学研讨和学术交流，鼓励年轻教师攻读博士学位、进修深造或参加校内外的业务能力提升培训，师资队伍的教学水平得以不断提高。</w:t>
      </w:r>
    </w:p>
    <w:p>
      <w:pPr>
        <w:spacing w:line="400" w:lineRule="exact"/>
        <w:ind w:firstLine="480" w:firstLineChars="200"/>
        <w:rPr>
          <w:rFonts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专业负责人和专业课教师有较为稳定的科研方向，积极开展科研教学融合工作。近四年来，近四年来，专任教师发表论文68篇，其中CSSCI及核心论文47篇,学术专著5部；主持陕西省社会科学、陕西省社科联等省部级基金11项，陕西省教育厅、西安市社科基金等地市厅局级项目21项，横向课题23项，纵向及横向科研经费累计394.7万元，主持国家级、省级、校级大创项目6项，主持校级教改项目4项，参与国家社科及教育部项目多项；获得陕西省哲学社会科学优秀成果奖等省部级奖项2项，陕西省高校哲学社会科学奖等市厅级奖项9项。本专业注重将教师的科研成果融入到教学中去，不断更新和建设课程内容，促进教学质量的提高，其中，刘鸿明、同勤学教授、孙小民副教授、杨曼利副教授等专任教师编写的4部教材，成为高等院校“十三五”规划教材。本专业教师不断优化并创新教学方法，参加教学改革活动，主持院级教学改革项目4项。通过在线课程资源的建设、反转课堂、实战项目案例式教学等方法的引入、考试方法的改革等，让学生更深刻的理解所学知识，提高了学生的实践运用能力。</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Cs/>
          <w:snapToGrid w:val="0"/>
          <w:kern w:val="2"/>
          <w:sz w:val="30"/>
          <w:szCs w:val="30"/>
        </w:rPr>
      </w:pPr>
      <w:r>
        <w:rPr>
          <w:rFonts w:hint="eastAsia" w:ascii="黑体" w:hAnsi="黑体" w:eastAsia="黑体" w:cs="黑体"/>
          <w:bCs/>
          <w:snapToGrid w:val="0"/>
          <w:kern w:val="2"/>
          <w:sz w:val="30"/>
          <w:szCs w:val="30"/>
        </w:rPr>
        <w:t>四、教学基本条件</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2016年经济与金融专业获准开设以来，在学校及学院的大力支持下，累计投入近 200万元专业建设经费，用于师资培养、课程建设、实验室建设与校外实习基地建设等方面，为经济与金融专业创造了良好的教学条件。本专业目前拥有普通教学教室5间，约400平方米；多媒体教室5间，约300平方方米；专业实验室2个，共200平方米；拥有综合性、专业实验软件5套；校图书馆拥有本专业中外文图书馆藏及电子图书约27.31万册，中外文经济及金融类期刊（含电子版）数（种）为1929，近三年相关图书购置经费约为42.32万元。教学实验仪器设备基本满足教学与实践环节的需要。</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通过充分挖掘社会资源，与华龙证券、今日财经等4家企业建立了产学合作关系，建设校外实习实践基地4个，可以满足专业实习实践的需要。同时，通过引进金融和证券企业导师授课、指导学科竞赛、引进企业实际运营项目进课堂、实训模拟等多种形式，拉近学生专业学习与行业实际需求之间的距离，提高学生的实践应用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规划了体验型、实践型、创新型的实验教学模式，其中，康英教授主讲的《银行柜台业务实训》，通过仿真的银行环境和角色扮演，使学生进行银行业务体验，深受学生欢迎；杨曼利副教授主讲的《理财规划》课程，勇于实践创新，创立了大学生投资理财咨询工作室，参与财金学联的建立和维护，邀请校外专家进课堂，最终获批国家级大创项目；王景红副教授主讲的《奇妙的思维——思维力慕课》，不断探索创新，注重实践运用，成为跨校创新创业共享课程和省级精品在线开放课程。同时，在共享型课程建设上，通过不懈努力，本专业的《微观经济学》课程已建设成为校级精品资源共享课。</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Cs/>
          <w:snapToGrid w:val="0"/>
          <w:kern w:val="2"/>
          <w:sz w:val="30"/>
          <w:szCs w:val="30"/>
        </w:rPr>
      </w:pPr>
      <w:r>
        <w:rPr>
          <w:rFonts w:hint="eastAsia" w:ascii="黑体" w:hAnsi="黑体" w:eastAsia="黑体" w:cs="黑体"/>
          <w:bCs/>
          <w:snapToGrid w:val="0"/>
          <w:kern w:val="2"/>
          <w:sz w:val="30"/>
          <w:szCs w:val="30"/>
        </w:rPr>
        <w:t>五、教学质量保障</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质量是学校的生命线。教育教学质量已成为高等学校生存与可持续发展的决定因素。教育教学质量形成于教学的全过程，是众多教学因素和教学环节综合作用的结果。因此，建立完善的教学质量保障体系，使影响教学质量的关键因素和关键环节在人才培养全过程中始终处于受控状态，是保证并提升教学质量的重要措施。</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多年来，我院在学科专业建设、课程建设、教学制度与规范建设、教学标准建设以及教学质量监控等方面已做了大量工作，教学质量稳步提高。</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黑体" w:hAnsi="黑体" w:eastAsia="黑体" w:cs="黑体"/>
          <w:sz w:val="28"/>
          <w:szCs w:val="28"/>
        </w:rPr>
      </w:pPr>
      <w:r>
        <w:rPr>
          <w:rFonts w:hint="eastAsia" w:ascii="黑体" w:hAnsi="黑体" w:eastAsia="黑体" w:cs="黑体"/>
          <w:sz w:val="28"/>
          <w:szCs w:val="28"/>
        </w:rPr>
        <w:t>（一）教学质量保障体系的构成</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我院的教学质量保障体系由五个子系统构成，分别为：质量目标与标准系统、教学组织与实施系统、质量管理与监控系统、质量评估与信息系统和质量分析与反馈系统。</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sz w:val="28"/>
          <w:szCs w:val="28"/>
        </w:rPr>
      </w:pPr>
      <w:r>
        <w:rPr>
          <w:rFonts w:hint="eastAsia" w:ascii="黑体" w:hAnsi="黑体" w:eastAsia="黑体" w:cs="黑体"/>
          <w:sz w:val="28"/>
          <w:szCs w:val="28"/>
        </w:rPr>
        <w:t>（二）各子系统的职能与构成</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黑体" w:hAnsi="黑体" w:eastAsia="黑体" w:cs="黑体"/>
          <w:sz w:val="24"/>
          <w:szCs w:val="24"/>
        </w:rPr>
      </w:pPr>
      <w:r>
        <w:rPr>
          <w:rFonts w:hint="eastAsia" w:ascii="黑体" w:hAnsi="黑体" w:eastAsia="黑体" w:cs="黑体"/>
          <w:sz w:val="24"/>
          <w:szCs w:val="24"/>
        </w:rPr>
        <w:t>1.质量目标与标准系统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包括教学质量目标系统和教学质量标准系统两部分内容。</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1）教学质量目标系统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我院教学质量目标系统要根据学校定位和办学指导思想制定，由学校人才培养总目标和具体的专业人才培养目标组成。</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人才培养总目标应符合学校的定位、办学思路和人才培养指导思想。各专业根据学校制定的人才培养总目标制订各专业的人才培养目标，对毕业生应达到的知识、能力、素质要求具体化，在培养方案中反映。</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各专业制定人才培养方案时要充分调研，组织由校内外同行专家进行充分论证后，由学院学科专业建设指导委员会审核通过。</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各专业教研室主任是人才培养目标的责任人。</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2）教学质量标准系统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质量标准是实现人才培养目标的重要保障，是教学运行和评价教学质量的根本依据，没有质量标准就无法监控和评价各教学环节的质量。教学质量标准系统主要包括两部分内容：</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①教学规范。包括理论教学规范和与实践教学规范。</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②教学质量标准。包括各主要教学环节的质量标准：如课堂教学、课程设计、课程实践和毕业设计质量标准，和教学建设标准：如课程建设标准、专业建设标准、实验室建设标准等。</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sz w:val="24"/>
          <w:szCs w:val="24"/>
        </w:rPr>
      </w:pPr>
      <w:r>
        <w:rPr>
          <w:rFonts w:hint="eastAsia" w:ascii="黑体" w:hAnsi="黑体" w:eastAsia="黑体" w:cs="黑体"/>
          <w:sz w:val="24"/>
          <w:szCs w:val="24"/>
        </w:rPr>
        <w:t>2.教学组织与实施系统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包括教学质量组织系统、教学质量制度系统、教学质量资源保障系统和教学质量过程管理系统等四部分内容。</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1）教学质量组织系统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我院教学质量保障工作的领导机构是学院教学工作管理委员会。其主要职责是：统一领导全院教学质量保障体系的制订、修改和实施；决定有关保证和提高教学质量的政策和措施；监督各个工作机构的执行情况。</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院教学质量保障工作的工作机构是学院的教学监控工作委员、教学行政办公室、学生工作办公室以及各教研室。其主要职责是：制订相应的教学质量子目标及其质量标准；制订实现教学质量子目标和达到质量标准的计划并组织实施；根据监控系统的反馈意见进行分析和改进。</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2）教学质量制度系统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管理规章制度是进行教学质量监控的根本依据，学校相继修订或制定了教学管理制度，以学籍管理制度、教学质量管理规章制度以及专业建设制度等为主要内容，学院结合自身情况制定并不断完善相关实施细则，建构一个科学、合理的教学管理制度系统，以保证实现教学质量的提高有其制度基础。</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3）教学质量资源保障系统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①师资队伍建设</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师资队伍建设的基本内容包括师资队伍数量的增加、结构的改善和素质的提高；建立教师工作的考核和激励机制并组织实施。</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师资队伍的建设目标是建立完善的教师聘任、考核和奖惩等机制；师资队伍建设规划满足学校发展要求，教师的数量、结构和质量满足教学要求。</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②实验实习基地建设</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实验实习基地建设的总体要求是确保教学设施的硬件和软件能满足本科教学的需要并正常运转。</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4）教学质量过程管理系统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①专业建设</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专业建设的基本内容包括：专业建设规划；各专业的定位，人才培养目标、规格，人才培养方案及其对应的课程和实践教学体系，实验室和实习基地，师资队伍，专业特色，教学改革等。</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专业建设的总体要求是专业设置符合社会需要，各专业定位和人才培养目标、规格符合学校人才培养的总体目标、规格，课程设置和实践教学体系满足人才培养目标、规格的需要；逐步形成专业特色。</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②课程建设</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课程建设的总体要求是：构建规范、完整、高质量、能满足学校各专业人才培养目标需要的课程体系。</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课程建设的内容包括：落实课程负责人，制定和修改教学大纲，选用或编写符合教学大纲的教材、辅助教材（补充讲义、学习指导书、习题集、试题库、实验指导教程等）。</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③教学改革与研究</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改革与研究的基本内容包括：根据学院建设与发展需要和教学工作中存在的具体问题，如：人才培养模式、课程建设、教学内容、教学方法与手段以及考核方式的改革等，确定教学改革与研究的选题并组织实施。</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教学改革与研究的总体目标是取得一些针对性强、目的明确、指导意义重大且具有可操作性的教学改革成果，并加以推广与应用。</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④课堂教学管理</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课堂教学管理的基本内容包括：教学计划的执行和教学任务的落实，教学进度的安排，课堂教学秩序的维护。</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课堂教学管理的总体目标是教学计划执行良好，教学秩序稳定，各环节质量标准执行良好。</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课堂教学的基本内容：备课、课堂讲授、辅导答疑、作业（含实验报告）批改、考核等教学过程的各个环节的组织。</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课堂教学的总体目标是教师在教学过程的各个环节中工作规范、认真、高效，并能做到教书育人。</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⑤实践教学</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实践教学包括实训课程、各类实习、学年论文设计、毕业设计（论文）等。</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实践教学管理的基本内容包括：实践教学计划的执行和教学任务的落实，实践教学秩序维护及过程管理。</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实践教学管理的总体目标是实践教学计划执行良好，实践教学秩序稳定，实践教学环节的质量标准执行良好。</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实践教学的主要内容包括：实践教学基本文件、准备、过程组织与指导、考核等环节。</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实践教学的总体目标是教师在实践教学过程的各个环节中工作规范、认真、有效，达到实践教学环节质量标准。</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⑥学风建设</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学风建设的基本内容包括：思想建设、组织建设、制度建设、环境建设。</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风建设的总体要求是把学风建设与德育工作结合起来，让学生自觉遵守校纪校规；使学生变被动学习为主动学习，确立学生在教学中的主体地位；为学生创造陶冶情操、增长才干的良好氛围；重视考风建设，制止考试作弊等错误行为，纠正不良风气；进一步建设优良学风集体，建设优良校园文化氛围。</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sz w:val="24"/>
          <w:szCs w:val="24"/>
        </w:rPr>
      </w:pPr>
      <w:r>
        <w:rPr>
          <w:rFonts w:hint="eastAsia" w:ascii="黑体" w:hAnsi="黑体" w:eastAsia="黑体" w:cs="黑体"/>
          <w:sz w:val="24"/>
          <w:szCs w:val="24"/>
        </w:rPr>
        <w:t>3.质量管理与监控系统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包括教学前准备情况监控系统、教学过程中多方位监控系统、教学后续监控系统等三部分内容。</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1）教学前准备情况监控系统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前准备情况的监控主要包括青年教师上课试讲制度、教研室集体备课制度、青年教师培训制度以及教案检查制度等。教学前的监控要求教师上课必须有规范的教案及课件，定期组织专家对教案进行检查和进行优秀教案、课件评选，以监督教师备课和提高备课质量。</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2）教学过程中多方位监控系统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过程中的多方位监控主要内容有听课制度、中期教学检查制度、课程建设、网上评教制度等。通过在教学过程中运用这些制度，能使人才培养的全过程得到优化，确保人才培养质量。对于监控中被发现有问题的教师，学院将组织专家进行“诊断性”听课，并给予授课教师—个指导性意见，以帮助其度过“教学关”。</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3）教学后续监控系统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强对教学后续过程考试的改革与管理，建立一整套的考试管理制度，对考试的各环节实施规范化管理。通过加强对考试工作各环节的管理，为广大师生提供了一个教与学的公平竞争的环境。另外，实行成绩分析制度，每门课考试结束要求进行试卷及成绩分析，并按要求作出“试卷分析报告”，对试卷难易度及学生成绩进行全面分析评估，认真总结。</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sz w:val="24"/>
          <w:szCs w:val="24"/>
        </w:rPr>
      </w:pPr>
      <w:r>
        <w:rPr>
          <w:rFonts w:hint="eastAsia" w:ascii="黑体" w:hAnsi="黑体" w:eastAsia="黑体" w:cs="黑体"/>
          <w:sz w:val="24"/>
          <w:szCs w:val="24"/>
        </w:rPr>
        <w:t>4.质量评估与信息系统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教学质量评估是利用教育评价的理论和技术对教学过程及其结果是否达到一定质量要求做出的价值判断，包括专家评价、同行评价、学生评价三个方面。</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院组建教学督导评价小组，由院领导、教学秘书、教研室主任和骨干教师组成，每学年通过听课，并结合其他评教信息，对教师的教学技能、教学态度、教材理解、创新和改善等作评价记录，并将意见反馈给教师，向教师提出更高的要求。</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将教师的同行评价、学生评价相结合，保证教学评价的客观性和合理性，学生作为接受教育的主体，最有权评价教师的教学质量。同行评价主要通过互相听课的方式进行，不仅有利于取他人之长，还能够正确考评其他教师的教学情况。</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sz w:val="24"/>
          <w:szCs w:val="24"/>
        </w:rPr>
      </w:pPr>
      <w:r>
        <w:rPr>
          <w:rFonts w:hint="eastAsia" w:ascii="黑体" w:hAnsi="黑体" w:eastAsia="黑体" w:cs="黑体"/>
          <w:sz w:val="24"/>
          <w:szCs w:val="24"/>
        </w:rPr>
        <w:t>5.质量分析与反馈系统</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分析与反馈系统是全面系统地收集与教学方方面面有关的信息，科学地分析教学信息，充分利用这些教学信息，建立教学信息反馈体系和机制，是完善教学质量监控体系，推动我院教学质量不断提高的前提之一。</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1）信息来源渠道</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学校教学信息反馈、定期的日常教学检查工作和不定期的专项检查、教学督导工作、学生教学信息、学生评教信息、其他信息来源（包括院长信箱、举报电话等）。</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2）信息的加工处理</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以上各个信息源收集到的教学信息，分层次、分类别在各分管院领导和院教学行政办公室、教研室得到加工处理。学院教学委员会是根据信息来进行教学管理研究和决策的最高组织。学院对教师和学生反映的教学问题能够解决的就及时解决处理，不能解决的上报教务处或有关主管部门，使教学信息传递的渠道畅通。</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3）教学调控</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调控包含两层含义：一是对教学过程中监管的结果进行控制；二是对教学质量监控体系本身的系统性问题进行调整与改进。</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支撑材料：相关制度、措施等证明材料。（段小燕）</w:t>
      </w:r>
    </w:p>
    <w:p>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教学管理的相关制度和措施学院发布有教学工作管理条例等20个规章制度及管理办法，具体如下：</w:t>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经济管理学院教学工作条例</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关于调整经济管理学院教学工作委员会的通知</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关于调整经济管理学院教学监控工作委员会的通知</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关于调整经济管理学院学术委员会的通知</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经济管理学院期中教学检查制度</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经济管理学院学业指导员制度</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经济管理学院关于教学任务安排的有关规定</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经济管理学院毕业实习计划内容指导意见</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经济管理学院学生毕业实习管理条例</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经济管理学院教研室例会制度</w:t>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经济管理学院青年教师正式上课前的培养制度</w:t>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经济管理学院教师调课、补课管理规定</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经济管理学院考试试题命题、评卷、试卷分析制度</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经济管理学院试卷装订规范条例</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经济管理学院试卷保密工作管理条例</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经济管理学院选定教材制度</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经济管理学院学生毕业论文管理规定</w:t>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经济管理学院试讲制度</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经济管理学院监考规定</w:t>
      </w:r>
      <w:r>
        <w:rPr>
          <w:rFonts w:hint="eastAsia" w:asciiTheme="minorEastAsia" w:hAnsiTheme="minorEastAsia" w:cstheme="minorEastAsia"/>
          <w:kern w:val="0"/>
          <w:sz w:val="24"/>
          <w:szCs w:val="24"/>
        </w:rPr>
        <w:tab/>
      </w:r>
    </w:p>
    <w:p>
      <w:pPr>
        <w:pStyle w:val="15"/>
        <w:spacing w:line="400" w:lineRule="exact"/>
        <w:ind w:firstLine="480"/>
        <w:outlineLvl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经济管理学院学生考试守则</w:t>
      </w:r>
      <w:r>
        <w:rPr>
          <w:rFonts w:hint="eastAsia" w:asciiTheme="minorEastAsia" w:hAnsiTheme="minorEastAsia" w:cstheme="minorEastAsia"/>
          <w:kern w:val="0"/>
          <w:sz w:val="24"/>
          <w:szCs w:val="24"/>
        </w:rPr>
        <w:tab/>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Cs/>
          <w:snapToGrid w:val="0"/>
          <w:kern w:val="2"/>
          <w:sz w:val="30"/>
          <w:szCs w:val="30"/>
        </w:rPr>
      </w:pPr>
      <w:r>
        <w:rPr>
          <w:rFonts w:hint="eastAsia" w:ascii="黑体" w:hAnsi="黑体" w:eastAsia="黑体" w:cs="黑体"/>
          <w:bCs/>
          <w:snapToGrid w:val="0"/>
          <w:kern w:val="2"/>
          <w:sz w:val="30"/>
          <w:szCs w:val="30"/>
        </w:rPr>
        <w:t>六、教学质量</w:t>
      </w:r>
    </w:p>
    <w:p>
      <w:pPr>
        <w:spacing w:line="400" w:lineRule="exact"/>
        <w:ind w:firstLine="480" w:firstLineChars="200"/>
        <w:rPr>
          <w:rFonts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请描述学生的专业素养和综合素质培养情况，包括参加学科竞赛、创新创业活动、科研项目的情况；竞赛获奖、发表论文、发明专利、获得资格证书等方面的情况。</w:t>
      </w:r>
    </w:p>
    <w:p>
      <w:pPr>
        <w:spacing w:line="400" w:lineRule="exact"/>
        <w:ind w:firstLine="480" w:firstLineChars="200"/>
        <w:rPr>
          <w:rFonts w:asciiTheme="minorEastAsia" w:hAnsiTheme="minorEastAsia" w:eastAsiaTheme="minorEastAsia" w:cstheme="minorEastAsia"/>
          <w:b/>
          <w:snapToGrid w:val="0"/>
          <w:kern w:val="2"/>
          <w:sz w:val="24"/>
          <w:szCs w:val="24"/>
        </w:rPr>
      </w:pPr>
      <w:r>
        <w:rPr>
          <w:rFonts w:hint="eastAsia" w:asciiTheme="minorEastAsia" w:hAnsiTheme="minorEastAsia" w:eastAsiaTheme="minorEastAsia" w:cstheme="minorEastAsia"/>
          <w:kern w:val="2"/>
          <w:sz w:val="24"/>
          <w:szCs w:val="24"/>
        </w:rPr>
        <w:t>支撑材料：学生发表论文、获得专利、获奖证书复印件等证明材料。</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黑体" w:hAnsi="黑体" w:eastAsia="黑体" w:cs="黑体"/>
          <w:sz w:val="28"/>
          <w:szCs w:val="28"/>
        </w:rPr>
      </w:pPr>
      <w:r>
        <w:rPr>
          <w:rFonts w:hint="eastAsia" w:ascii="黑体" w:hAnsi="黑体" w:eastAsia="黑体" w:cs="黑体"/>
          <w:sz w:val="28"/>
          <w:szCs w:val="28"/>
        </w:rPr>
        <w:t>（一）教学效果</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近三学年评估结果统计表明，我校的教学质量良好。按均值统计：专家评分中，95分以上的教师比例为78.57%；同行评分中，95分以上占比达100%；学生的评教分数平均值为94.04，师德评分的平均分为96.35，反映出教学效果良好。</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sz w:val="28"/>
          <w:szCs w:val="28"/>
        </w:rPr>
      </w:pPr>
      <w:r>
        <w:rPr>
          <w:rFonts w:hint="eastAsia" w:ascii="黑体" w:hAnsi="黑体" w:eastAsia="黑体" w:cs="黑体"/>
          <w:sz w:val="28"/>
          <w:szCs w:val="28"/>
        </w:rPr>
        <w:t>（二）学生的竞赛成绩</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2016——2020年间，经济与金融专业学生参加了各类竞赛，取得了较好的成绩。</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获得省级奖项两项：（1）2018年，经济与金融专业学生彭露露、杜欣、杨彤蕾、杨柳参加第一届“中信证券陕西分公司暨学股网杯”模拟证券投资大赛高校邀请赛，获得团体一等奖；（2）2019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年，经济与金融专业学生刘岳琛参加全国大学生自强之星比赛，获取自强之星称号。</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获得市级奖项一项：2017年“城南杯”首届高校大学生讲解大赛中，经济与金融专业学生杨彤蕾获得二等奖。</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获得校级奖项4项：（1）2016年西安文理学院辩论赛中经济与金融专业学生杨彤蕾获一等奖、最佳辩手；（2）16届大学生艺术节“魅力文理”讲解大赛中，经济与金融专业学生杨彤蕾获得一等奖；（3）2017年第八届职业规划大赛，经济与金融专业学生杜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获得一等奖；（4）2017年在大学生主题演讲比赛经济与金融专业学生杨彤蕾获得二等奖。</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sz w:val="28"/>
          <w:szCs w:val="28"/>
        </w:rPr>
      </w:pPr>
      <w:r>
        <w:rPr>
          <w:rFonts w:hint="eastAsia" w:ascii="黑体" w:hAnsi="黑体" w:eastAsia="黑体" w:cs="黑体"/>
          <w:sz w:val="28"/>
          <w:szCs w:val="28"/>
        </w:rPr>
        <w:t>（三）学生的外语成绩</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济与金融专业学生参加了各类英语比赛，取得突出的成绩。其中国家级奖项4项：2017-2019年间，参加全国大学生英语竞赛C类比赛，（1）2017年，杜欣获得C类二等奖、杨彤蕾获得三等奖；（2）2018年，杜欣、陈佩婷、刘会会获得二等奖；（3）2019年，杜欣获得C类一等奖。</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校级英语竞赛奖项6项：（1）2017年，“外研社”英语阅读大赛中，彭露露、杜欣分获一等奖、三等奖。（2）2017年，“外研社”英语写作大赛中，彭露露获得三等奖；（3）2017年，第七届外语文化节之演讲大赛中，杨彤蕾获得二等奖。</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黑体" w:hAnsi="黑体" w:eastAsia="黑体" w:cs="黑体"/>
          <w:sz w:val="28"/>
          <w:szCs w:val="28"/>
        </w:rPr>
      </w:pPr>
      <w:r>
        <w:rPr>
          <w:rFonts w:hint="eastAsia" w:ascii="黑体" w:hAnsi="黑体" w:eastAsia="黑体" w:cs="黑体"/>
          <w:sz w:val="28"/>
          <w:szCs w:val="28"/>
        </w:rPr>
        <w:t>（四）学生的创新能力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济与金融专业学生积极参加各级各类的创新创业大赛。不仅包括团中央、教育部、科技部等举办的国家级、省级、校级的“挑战杯”、“创青春”、“互联网+”大学生创新创业大赛，还包括西安市雁塔区、西咸新区、科技局等地方政府举办的大学生创新创业大赛，特别还有金融行业举办的赛事，获得的成绩如下：</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国家级大创项目立项1项：2019年杨曼利老师指导的大学生个人理财咨询工作室获得国家立项，参与学生为仰彬仁、杨柳。</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省级立项项目4项：（1）2017年，第三届全国“互联网+”创新创业大赛中，学生程攀、高威、郝晴、丁芳、耿敏参与；（2）2018年，高新"创青春"大学生创业大赛，程攀、高威、郝晴、丁芳参与；（3）2018年，创客中国创新创业大赛，程攀、高威、郝晴、丁芳、耿敏参与；（4）2018年， “学创杯”陕西省创新创业综合模拟大赛，杜欣、付丹蕾、卜凡参与.</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校级各类大创项目立项5项。</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发表论文3篇，（1）杨彤蕾，互联网+”背景下高校学生群体外卖订餐现状及问题研究——以西安某高校为例，价值工程；（2）彭露露，杨彤蕾，“互联网”背景下居家智慧健康养老模式的探究，价值工程；（3）石彩艳，杨彤蕾，互联网+”背景下茶行业发展现状及问题研究分析——以泾阳茯茶为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时代经贸。</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有2名学生在校期间进行自主创业，注册公司3个，年营业额达百万元，其中，2016级学生刘岳琛同学获得中国大学生自强之星荣誉称号。</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sz w:val="28"/>
          <w:szCs w:val="28"/>
        </w:rPr>
      </w:pPr>
      <w:r>
        <w:rPr>
          <w:rFonts w:hint="eastAsia" w:ascii="黑体" w:hAnsi="黑体" w:eastAsia="黑体" w:cs="黑体"/>
          <w:sz w:val="28"/>
          <w:szCs w:val="28"/>
        </w:rPr>
        <w:t>（五）获得专业资格证书情况</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充分体现本专业的人才培养特色，还积极组织、鼓励学生参加相关资格证书的考取。目前取得银行从业资格证的学生有11人；获取证券从业资格证的学生有16人；获得基金从业资格证的学生有8人；获得期货从业资格证的学生有4人；获得ACCA高级证书的学生有1人；获得ACCA初级证书的学生有2人；1人获得小学数学教师资格证书。</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sz w:val="28"/>
          <w:szCs w:val="28"/>
        </w:rPr>
      </w:pPr>
      <w:r>
        <w:rPr>
          <w:rFonts w:hint="eastAsia" w:ascii="黑体" w:hAnsi="黑体" w:eastAsia="黑体" w:cs="黑体"/>
          <w:sz w:val="28"/>
          <w:szCs w:val="28"/>
        </w:rPr>
        <w:t>（六）学生的综合素质</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2017年“全球程序员节.西安”活动中，经济与金融专业杜欣、丁芳、郝晴、黄静怡、陈佩婷等多名学生作为志愿者参与，获得优秀志愿者称号；阮河海在2016、2017年校级大学生篮球联赛中获取第一名，2018年校级大学生篮球联赛获取第三名；刘怡洁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2017年校级舞蹈大赛三等奖；在2016第十六届大学生科技文化节校园原创话剧《冯从吾》中，学生刘会会、贾晓宇、刘洁被评为优秀剧务；季伟康获得校级篮球赛二等奖、足球比赛第八名。</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bCs/>
          <w:snapToGrid w:val="0"/>
          <w:kern w:val="2"/>
          <w:sz w:val="30"/>
          <w:szCs w:val="30"/>
        </w:rPr>
      </w:pPr>
      <w:r>
        <w:rPr>
          <w:rFonts w:hint="eastAsia" w:ascii="黑体" w:hAnsi="黑体" w:eastAsia="黑体" w:cs="黑体"/>
          <w:bCs/>
          <w:snapToGrid w:val="0"/>
          <w:kern w:val="2"/>
          <w:sz w:val="30"/>
          <w:szCs w:val="30"/>
        </w:rPr>
        <w:t>七、需要解决的问题</w:t>
      </w:r>
    </w:p>
    <w:p>
      <w:pPr>
        <w:spacing w:line="400" w:lineRule="exact"/>
        <w:ind w:firstLine="480" w:firstLineChars="200"/>
        <w:jc w:val="left"/>
        <w:rPr>
          <w:rFonts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经济与金融专业自从开设及招生以来，获得了良好的口碑，招生数量随之稳步上升，但也带来了专业建设经费不足的问题。伴随经济与金融专业学生数量的增加和用人单位对学生实践能力越来越高的要求，本专业目前实施教学实践环节的实验实训场地容纳能力有限，实训设施不足，学习资源较为匮乏，未能建立起金融数据库，部分实训课程的配套软件尚未得以安装；实习实训基地建设在资源共享、校企合作和具体实施中还存在一定的困难，学生实习、见习的人均经费较低，需要更多的经费保障，以促进人才培养质量的进一步提高。</w:t>
      </w:r>
    </w:p>
    <w:p>
      <w:pPr>
        <w:spacing w:line="240" w:lineRule="auto"/>
        <w:ind w:firstLine="640" w:firstLineChars="200"/>
        <w:rPr>
          <w:rFonts w:ascii="Times New Roman" w:hAnsi="Times New Roman" w:eastAsia="宋体" w:cs="宋体"/>
        </w:rPr>
      </w:pPr>
    </w:p>
    <w:p>
      <w:pPr>
        <w:spacing w:line="240" w:lineRule="auto"/>
        <w:ind w:firstLine="640" w:firstLineChars="200"/>
      </w:pPr>
    </w:p>
    <w:p>
      <w:pPr>
        <w:adjustRightInd w:val="0"/>
        <w:snapToGrid w:val="0"/>
        <w:spacing w:line="240" w:lineRule="auto"/>
        <w:ind w:firstLine="640" w:firstLineChars="200"/>
      </w:pPr>
    </w:p>
    <w:sectPr>
      <w:pgSz w:w="11906" w:h="16838"/>
      <w:pgMar w:top="1440" w:right="1800" w:bottom="1440" w:left="1800" w:header="851" w:footer="850" w:gutter="0"/>
      <w:cols w:space="0" w:num="1"/>
      <w:docGrid w:type="linesAndChars" w:linePitch="4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UMingHK">
    <w:altName w:val="宋体"/>
    <w:panose1 w:val="00000000000000000000"/>
    <w:charset w:val="86"/>
    <w:family w:val="auto"/>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320"/>
  <w:drawingGridVerticalSpacing w:val="251"/>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1061395E"/>
    <w:rsid w:val="0003685C"/>
    <w:rsid w:val="000418B0"/>
    <w:rsid w:val="00053B11"/>
    <w:rsid w:val="00071644"/>
    <w:rsid w:val="00075933"/>
    <w:rsid w:val="00087E84"/>
    <w:rsid w:val="000922F2"/>
    <w:rsid w:val="00094B98"/>
    <w:rsid w:val="0009740B"/>
    <w:rsid w:val="000C35FE"/>
    <w:rsid w:val="000F3991"/>
    <w:rsid w:val="001114F1"/>
    <w:rsid w:val="00117FF2"/>
    <w:rsid w:val="001233EC"/>
    <w:rsid w:val="00125C4F"/>
    <w:rsid w:val="0013328E"/>
    <w:rsid w:val="00136439"/>
    <w:rsid w:val="001377C0"/>
    <w:rsid w:val="00143D02"/>
    <w:rsid w:val="00143E54"/>
    <w:rsid w:val="00152893"/>
    <w:rsid w:val="001574AC"/>
    <w:rsid w:val="001612C1"/>
    <w:rsid w:val="001656DD"/>
    <w:rsid w:val="0019303C"/>
    <w:rsid w:val="001A4BA8"/>
    <w:rsid w:val="001C52C8"/>
    <w:rsid w:val="001D5C80"/>
    <w:rsid w:val="001F60DA"/>
    <w:rsid w:val="00217BD3"/>
    <w:rsid w:val="00220EB7"/>
    <w:rsid w:val="00223C1A"/>
    <w:rsid w:val="00241005"/>
    <w:rsid w:val="00243998"/>
    <w:rsid w:val="00250DCC"/>
    <w:rsid w:val="00281BF5"/>
    <w:rsid w:val="0029152B"/>
    <w:rsid w:val="00291C54"/>
    <w:rsid w:val="002A0F0D"/>
    <w:rsid w:val="002B456B"/>
    <w:rsid w:val="002E47CA"/>
    <w:rsid w:val="002F600B"/>
    <w:rsid w:val="00315726"/>
    <w:rsid w:val="0032130B"/>
    <w:rsid w:val="00330A64"/>
    <w:rsid w:val="00330AB0"/>
    <w:rsid w:val="00334B3B"/>
    <w:rsid w:val="00335016"/>
    <w:rsid w:val="00336103"/>
    <w:rsid w:val="00383B8B"/>
    <w:rsid w:val="003845DC"/>
    <w:rsid w:val="00387F5B"/>
    <w:rsid w:val="003E7EE5"/>
    <w:rsid w:val="00400C52"/>
    <w:rsid w:val="00433CBE"/>
    <w:rsid w:val="0048109D"/>
    <w:rsid w:val="00481FC7"/>
    <w:rsid w:val="00483A91"/>
    <w:rsid w:val="00490DC0"/>
    <w:rsid w:val="004C1C85"/>
    <w:rsid w:val="004C3309"/>
    <w:rsid w:val="004C5D3B"/>
    <w:rsid w:val="004C7FFE"/>
    <w:rsid w:val="004D2F6C"/>
    <w:rsid w:val="004D40B5"/>
    <w:rsid w:val="005000DB"/>
    <w:rsid w:val="0053257F"/>
    <w:rsid w:val="0053734E"/>
    <w:rsid w:val="00541287"/>
    <w:rsid w:val="00541521"/>
    <w:rsid w:val="00552F1F"/>
    <w:rsid w:val="005607B1"/>
    <w:rsid w:val="005608CA"/>
    <w:rsid w:val="005627D7"/>
    <w:rsid w:val="005645B8"/>
    <w:rsid w:val="0056781B"/>
    <w:rsid w:val="00585B82"/>
    <w:rsid w:val="00593762"/>
    <w:rsid w:val="005976A5"/>
    <w:rsid w:val="005A0B21"/>
    <w:rsid w:val="005B01ED"/>
    <w:rsid w:val="005B090C"/>
    <w:rsid w:val="005B1EFC"/>
    <w:rsid w:val="005C1C11"/>
    <w:rsid w:val="005D54E0"/>
    <w:rsid w:val="00604CFC"/>
    <w:rsid w:val="00605EBA"/>
    <w:rsid w:val="0060725A"/>
    <w:rsid w:val="00616693"/>
    <w:rsid w:val="006359FF"/>
    <w:rsid w:val="00640F90"/>
    <w:rsid w:val="00644CA2"/>
    <w:rsid w:val="00645BE8"/>
    <w:rsid w:val="0064701F"/>
    <w:rsid w:val="00653A68"/>
    <w:rsid w:val="006565BB"/>
    <w:rsid w:val="006608AF"/>
    <w:rsid w:val="00660F33"/>
    <w:rsid w:val="006662E6"/>
    <w:rsid w:val="006710E3"/>
    <w:rsid w:val="006813EF"/>
    <w:rsid w:val="00681BF6"/>
    <w:rsid w:val="00682F8F"/>
    <w:rsid w:val="00685D80"/>
    <w:rsid w:val="006A2588"/>
    <w:rsid w:val="006B2108"/>
    <w:rsid w:val="006B442E"/>
    <w:rsid w:val="006D09ED"/>
    <w:rsid w:val="006D1528"/>
    <w:rsid w:val="006F1AAC"/>
    <w:rsid w:val="006F28FF"/>
    <w:rsid w:val="006F4B36"/>
    <w:rsid w:val="00701160"/>
    <w:rsid w:val="00705C79"/>
    <w:rsid w:val="00706EB0"/>
    <w:rsid w:val="00730A27"/>
    <w:rsid w:val="0073796F"/>
    <w:rsid w:val="00740214"/>
    <w:rsid w:val="00740884"/>
    <w:rsid w:val="00744013"/>
    <w:rsid w:val="0074490C"/>
    <w:rsid w:val="007652BC"/>
    <w:rsid w:val="00773E67"/>
    <w:rsid w:val="00781A21"/>
    <w:rsid w:val="0078349F"/>
    <w:rsid w:val="00790F9D"/>
    <w:rsid w:val="00791DC8"/>
    <w:rsid w:val="007A1062"/>
    <w:rsid w:val="007C1D42"/>
    <w:rsid w:val="007E3BD4"/>
    <w:rsid w:val="007F58AA"/>
    <w:rsid w:val="007F6A66"/>
    <w:rsid w:val="00803292"/>
    <w:rsid w:val="00815893"/>
    <w:rsid w:val="0083288F"/>
    <w:rsid w:val="008658C0"/>
    <w:rsid w:val="00866E77"/>
    <w:rsid w:val="00873134"/>
    <w:rsid w:val="00874E0D"/>
    <w:rsid w:val="0087629F"/>
    <w:rsid w:val="008A564F"/>
    <w:rsid w:val="008B6E1B"/>
    <w:rsid w:val="008C1918"/>
    <w:rsid w:val="008D5BD8"/>
    <w:rsid w:val="008D6C1A"/>
    <w:rsid w:val="00900832"/>
    <w:rsid w:val="00906F19"/>
    <w:rsid w:val="0091474C"/>
    <w:rsid w:val="0091503D"/>
    <w:rsid w:val="00920B3F"/>
    <w:rsid w:val="009300B8"/>
    <w:rsid w:val="00936322"/>
    <w:rsid w:val="009575C3"/>
    <w:rsid w:val="00971046"/>
    <w:rsid w:val="009A0F0C"/>
    <w:rsid w:val="009A4176"/>
    <w:rsid w:val="009C30A5"/>
    <w:rsid w:val="009D2828"/>
    <w:rsid w:val="009E58B7"/>
    <w:rsid w:val="009F6E86"/>
    <w:rsid w:val="00A21CDD"/>
    <w:rsid w:val="00A30C5B"/>
    <w:rsid w:val="00A5140D"/>
    <w:rsid w:val="00A57459"/>
    <w:rsid w:val="00A62CD1"/>
    <w:rsid w:val="00A7505F"/>
    <w:rsid w:val="00A83511"/>
    <w:rsid w:val="00A9578D"/>
    <w:rsid w:val="00AA5F3C"/>
    <w:rsid w:val="00AE2E87"/>
    <w:rsid w:val="00AE3D16"/>
    <w:rsid w:val="00AF5876"/>
    <w:rsid w:val="00B01926"/>
    <w:rsid w:val="00B13093"/>
    <w:rsid w:val="00B25163"/>
    <w:rsid w:val="00B26C6E"/>
    <w:rsid w:val="00B30567"/>
    <w:rsid w:val="00B32CF6"/>
    <w:rsid w:val="00B3486A"/>
    <w:rsid w:val="00B41AE3"/>
    <w:rsid w:val="00B468B8"/>
    <w:rsid w:val="00B46B7F"/>
    <w:rsid w:val="00B61804"/>
    <w:rsid w:val="00B709A6"/>
    <w:rsid w:val="00B729EC"/>
    <w:rsid w:val="00B746A5"/>
    <w:rsid w:val="00B87C08"/>
    <w:rsid w:val="00B965D5"/>
    <w:rsid w:val="00B96715"/>
    <w:rsid w:val="00BA2CFE"/>
    <w:rsid w:val="00BA37B8"/>
    <w:rsid w:val="00BB1015"/>
    <w:rsid w:val="00BC51F1"/>
    <w:rsid w:val="00BD3315"/>
    <w:rsid w:val="00BE0EEE"/>
    <w:rsid w:val="00BE2AD8"/>
    <w:rsid w:val="00BF0000"/>
    <w:rsid w:val="00BF2DD6"/>
    <w:rsid w:val="00BF70C0"/>
    <w:rsid w:val="00C00376"/>
    <w:rsid w:val="00C04C27"/>
    <w:rsid w:val="00C102EB"/>
    <w:rsid w:val="00C1332B"/>
    <w:rsid w:val="00C1684A"/>
    <w:rsid w:val="00C258B2"/>
    <w:rsid w:val="00C2721E"/>
    <w:rsid w:val="00C273BB"/>
    <w:rsid w:val="00C415FC"/>
    <w:rsid w:val="00C56CD4"/>
    <w:rsid w:val="00C66ADA"/>
    <w:rsid w:val="00C819A8"/>
    <w:rsid w:val="00C95ABB"/>
    <w:rsid w:val="00CA516F"/>
    <w:rsid w:val="00CB414D"/>
    <w:rsid w:val="00CE5C08"/>
    <w:rsid w:val="00CE5D96"/>
    <w:rsid w:val="00CF3977"/>
    <w:rsid w:val="00D0366F"/>
    <w:rsid w:val="00D56843"/>
    <w:rsid w:val="00D56C9D"/>
    <w:rsid w:val="00D61629"/>
    <w:rsid w:val="00D74A2A"/>
    <w:rsid w:val="00D761CC"/>
    <w:rsid w:val="00D80F61"/>
    <w:rsid w:val="00D93087"/>
    <w:rsid w:val="00DA6772"/>
    <w:rsid w:val="00DB4B94"/>
    <w:rsid w:val="00DC79F5"/>
    <w:rsid w:val="00DD1BA0"/>
    <w:rsid w:val="00DE6569"/>
    <w:rsid w:val="00DF075A"/>
    <w:rsid w:val="00DF38B3"/>
    <w:rsid w:val="00E173F9"/>
    <w:rsid w:val="00E32CE9"/>
    <w:rsid w:val="00E53CE5"/>
    <w:rsid w:val="00E604BF"/>
    <w:rsid w:val="00E66BC7"/>
    <w:rsid w:val="00E70316"/>
    <w:rsid w:val="00E7561A"/>
    <w:rsid w:val="00E75BA3"/>
    <w:rsid w:val="00EA1E67"/>
    <w:rsid w:val="00EA4169"/>
    <w:rsid w:val="00EB01A8"/>
    <w:rsid w:val="00EB5BBB"/>
    <w:rsid w:val="00EC751E"/>
    <w:rsid w:val="00EE0B78"/>
    <w:rsid w:val="00EE6EA9"/>
    <w:rsid w:val="00F07936"/>
    <w:rsid w:val="00F105C6"/>
    <w:rsid w:val="00F21CF2"/>
    <w:rsid w:val="00F24C17"/>
    <w:rsid w:val="00F360BB"/>
    <w:rsid w:val="00F36D43"/>
    <w:rsid w:val="00F55EE4"/>
    <w:rsid w:val="00F72052"/>
    <w:rsid w:val="00F91E52"/>
    <w:rsid w:val="00F92165"/>
    <w:rsid w:val="00F94392"/>
    <w:rsid w:val="00FA01E6"/>
    <w:rsid w:val="00FB1C2E"/>
    <w:rsid w:val="00FB7F1E"/>
    <w:rsid w:val="00FC6740"/>
    <w:rsid w:val="00FD674F"/>
    <w:rsid w:val="00FE5476"/>
    <w:rsid w:val="00FF142D"/>
    <w:rsid w:val="1061395E"/>
    <w:rsid w:val="2DBF591B"/>
    <w:rsid w:val="49040E2D"/>
    <w:rsid w:val="607F27E0"/>
    <w:rsid w:val="638E020B"/>
    <w:rsid w:val="67AD3F7A"/>
    <w:rsid w:val="7D406CE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等线" w:eastAsia="仿宋_GB2312" w:cs="UMingHK"/>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0" w:semiHidden="0"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38" w:lineRule="auto"/>
      <w:jc w:val="both"/>
    </w:pPr>
    <w:rPr>
      <w:rFonts w:ascii="仿宋_GB2312" w:hAnsi="等线" w:eastAsia="仿宋_GB2312" w:cs="UMingHK"/>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spacing w:line="240" w:lineRule="auto"/>
      <w:jc w:val="left"/>
    </w:pPr>
    <w:rPr>
      <w:rFonts w:ascii="Calibri" w:hAnsi="Calibri" w:eastAsia="宋体" w:cs="Times New Roman"/>
      <w:kern w:val="2"/>
      <w:sz w:val="18"/>
      <w:szCs w:val="18"/>
    </w:rPr>
  </w:style>
  <w:style w:type="paragraph" w:styleId="3">
    <w:name w:val="header"/>
    <w:basedOn w:val="1"/>
    <w:link w:val="10"/>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
    <w:name w:val="Title"/>
    <w:basedOn w:val="1"/>
    <w:qFormat/>
    <w:uiPriority w:val="0"/>
    <w:pPr>
      <w:spacing w:before="240" w:after="60"/>
      <w:jc w:val="center"/>
      <w:outlineLvl w:val="0"/>
    </w:pPr>
    <w:rPr>
      <w:rFonts w:ascii="Arial" w:hAnsi="Arial" w:cs="Arial"/>
      <w:b/>
      <w:bCs/>
      <w:sz w:val="32"/>
      <w:szCs w:val="32"/>
    </w:rPr>
  </w:style>
  <w:style w:type="character" w:styleId="7">
    <w:name w:val="page number"/>
    <w:uiPriority w:val="99"/>
    <w:rPr>
      <w:rFonts w:cs="Times New Roman"/>
    </w:rPr>
  </w:style>
  <w:style w:type="character" w:styleId="8">
    <w:name w:val="Hyperlink"/>
    <w:qFormat/>
    <w:locked/>
    <w:uiPriority w:val="0"/>
    <w:rPr>
      <w:color w:val="0000FF"/>
      <w:u w:val="single"/>
    </w:rPr>
  </w:style>
  <w:style w:type="character" w:customStyle="1" w:styleId="9">
    <w:name w:val="页脚 字符"/>
    <w:link w:val="2"/>
    <w:semiHidden/>
    <w:locked/>
    <w:uiPriority w:val="99"/>
    <w:rPr>
      <w:rFonts w:cs="Times New Roman"/>
      <w:kern w:val="0"/>
      <w:sz w:val="18"/>
      <w:szCs w:val="18"/>
    </w:rPr>
  </w:style>
  <w:style w:type="character" w:customStyle="1" w:styleId="10">
    <w:name w:val="页眉 字符"/>
    <w:link w:val="3"/>
    <w:locked/>
    <w:uiPriority w:val="99"/>
    <w:rPr>
      <w:rFonts w:cs="Times New Roman"/>
      <w:sz w:val="18"/>
      <w:szCs w:val="18"/>
    </w:rPr>
  </w:style>
  <w:style w:type="paragraph" w:customStyle="1" w:styleId="11">
    <w:name w:val="5内文"/>
    <w:link w:val="12"/>
    <w:qFormat/>
    <w:uiPriority w:val="99"/>
    <w:pPr>
      <w:spacing w:line="400" w:lineRule="exact"/>
      <w:ind w:firstLine="200" w:firstLineChars="200"/>
      <w:jc w:val="both"/>
    </w:pPr>
    <w:rPr>
      <w:rFonts w:ascii="宋体" w:hAnsi="宋体" w:eastAsia="宋体" w:cs="宋体"/>
      <w:color w:val="231F20"/>
      <w:sz w:val="21"/>
      <w:szCs w:val="21"/>
      <w:lang w:val="en-US" w:eastAsia="zh-CN" w:bidi="ar-SA"/>
    </w:rPr>
  </w:style>
  <w:style w:type="character" w:customStyle="1" w:styleId="12">
    <w:name w:val="5内文 Char"/>
    <w:link w:val="11"/>
    <w:qFormat/>
    <w:locked/>
    <w:uiPriority w:val="99"/>
    <w:rPr>
      <w:rFonts w:ascii="宋体" w:hAnsi="宋体" w:eastAsia="宋体" w:cs="宋体"/>
      <w:color w:val="231F20"/>
      <w:sz w:val="21"/>
      <w:szCs w:val="21"/>
    </w:rPr>
  </w:style>
  <w:style w:type="paragraph" w:customStyle="1" w:styleId="13">
    <w:name w:val="3标题"/>
    <w:basedOn w:val="1"/>
    <w:link w:val="14"/>
    <w:qFormat/>
    <w:uiPriority w:val="99"/>
    <w:pPr>
      <w:widowControl/>
      <w:spacing w:before="200" w:after="100" w:line="400" w:lineRule="exact"/>
      <w:ind w:firstLine="200" w:firstLineChars="200"/>
      <w:outlineLvl w:val="2"/>
    </w:pPr>
    <w:rPr>
      <w:rFonts w:ascii="宋体" w:hAnsi="宋体" w:eastAsia="黑体" w:cs="宋体"/>
      <w:sz w:val="21"/>
      <w:szCs w:val="21"/>
    </w:rPr>
  </w:style>
  <w:style w:type="character" w:customStyle="1" w:styleId="14">
    <w:name w:val="3标题 Char"/>
    <w:link w:val="13"/>
    <w:qFormat/>
    <w:locked/>
    <w:uiPriority w:val="99"/>
    <w:rPr>
      <w:rFonts w:ascii="宋体" w:hAnsi="宋体" w:eastAsia="黑体" w:cs="宋体"/>
      <w:sz w:val="21"/>
      <w:szCs w:val="21"/>
    </w:rPr>
  </w:style>
  <w:style w:type="paragraph" w:styleId="15">
    <w:name w:val="List Paragraph"/>
    <w:basedOn w:val="1"/>
    <w:qFormat/>
    <w:uiPriority w:val="34"/>
    <w:pPr>
      <w:spacing w:line="240" w:lineRule="auto"/>
      <w:ind w:firstLine="420" w:firstLineChars="200"/>
    </w:pPr>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1449</Words>
  <Characters>8263</Characters>
  <Lines>68</Lines>
  <Paragraphs>19</Paragraphs>
  <TotalTime>5</TotalTime>
  <ScaleCrop>false</ScaleCrop>
  <LinksUpToDate>false</LinksUpToDate>
  <CharactersWithSpaces>9693</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2019-12-19T14:08:00Z</dcterms:created>
  <dc:creator>potato</dc:creator>
  <cp:lastModifiedBy>高婷婷</cp:lastModifiedBy>
  <cp:lastPrinted>2019-12-18T09:32:00Z</cp:lastPrinted>
  <dcterms:modified xsi:type="dcterms:W3CDTF">2019-12-23T02:14:58Z</dcterms:modified>
  <dc:title>关于开展</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